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8D0" w:rsidRPr="00B553B9" w:rsidRDefault="004C51C3">
      <w:pPr>
        <w:rPr>
          <w:b/>
          <w:sz w:val="24"/>
          <w:szCs w:val="24"/>
        </w:rPr>
      </w:pPr>
      <w:r w:rsidRPr="00B553B9">
        <w:rPr>
          <w:rFonts w:ascii="Times New Roman" w:hAnsi="Times New Roman"/>
          <w:b/>
          <w:sz w:val="24"/>
          <w:szCs w:val="24"/>
        </w:rPr>
        <w:t>Załącznik nr 4 – Przykłady norm ukrytych w kodach QR</w:t>
      </w:r>
    </w:p>
    <w:p w:rsidR="004C51C3" w:rsidRDefault="004C51C3"/>
    <w:p w:rsidR="004C51C3" w:rsidRDefault="004C51C3">
      <w:r>
        <w:rPr>
          <w:noProof/>
          <w:lang w:eastAsia="pl-PL"/>
        </w:rPr>
        <w:drawing>
          <wp:inline distT="0" distB="0" distL="0" distR="0">
            <wp:extent cx="2238375" cy="2219325"/>
            <wp:effectExtent l="0" t="0" r="9525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51C3" w:rsidRPr="00B553B9" w:rsidRDefault="004C51C3" w:rsidP="004C51C3">
      <w:pPr>
        <w:pStyle w:val="Default"/>
        <w:rPr>
          <w:rFonts w:ascii="Times New Roman" w:hAnsi="Times New Roman" w:cs="Times New Roman"/>
          <w:color w:val="auto"/>
        </w:rPr>
      </w:pPr>
    </w:p>
    <w:p w:rsidR="004C51C3" w:rsidRPr="00B553B9" w:rsidRDefault="004C51C3" w:rsidP="004C51C3">
      <w:pPr>
        <w:rPr>
          <w:rFonts w:ascii="Times New Roman" w:hAnsi="Times New Roman" w:cs="Times New Roman"/>
          <w:sz w:val="24"/>
          <w:szCs w:val="24"/>
        </w:rPr>
      </w:pPr>
      <w:r w:rsidRPr="00B553B9">
        <w:rPr>
          <w:rFonts w:ascii="Times New Roman" w:hAnsi="Times New Roman" w:cs="Times New Roman"/>
          <w:sz w:val="24"/>
          <w:szCs w:val="24"/>
        </w:rPr>
        <w:t xml:space="preserve">PN-ISO 15799:2007 </w:t>
      </w:r>
    </w:p>
    <w:p w:rsidR="004C51C3" w:rsidRPr="00B553B9" w:rsidRDefault="004C51C3" w:rsidP="00BA141A">
      <w:pPr>
        <w:jc w:val="both"/>
        <w:rPr>
          <w:rFonts w:ascii="Times New Roman" w:hAnsi="Times New Roman" w:cs="Times New Roman"/>
          <w:sz w:val="24"/>
          <w:szCs w:val="24"/>
        </w:rPr>
      </w:pPr>
      <w:r w:rsidRPr="00B553B9">
        <w:rPr>
          <w:rFonts w:ascii="Times New Roman" w:hAnsi="Times New Roman" w:cs="Times New Roman"/>
          <w:sz w:val="24"/>
          <w:szCs w:val="24"/>
        </w:rPr>
        <w:t>Jakość gleby -</w:t>
      </w:r>
      <w:r w:rsidR="00ED2571">
        <w:rPr>
          <w:rFonts w:ascii="Times New Roman" w:hAnsi="Times New Roman" w:cs="Times New Roman"/>
          <w:sz w:val="24"/>
          <w:szCs w:val="24"/>
        </w:rPr>
        <w:t xml:space="preserve"> </w:t>
      </w:r>
      <w:r w:rsidRPr="00B553B9">
        <w:rPr>
          <w:rFonts w:ascii="Times New Roman" w:hAnsi="Times New Roman" w:cs="Times New Roman"/>
          <w:sz w:val="24"/>
          <w:szCs w:val="24"/>
        </w:rPr>
        <w:t>Zasady dotyczące ekotoksykologicznej charakterystyki gleb i materiałów glebowych</w:t>
      </w:r>
    </w:p>
    <w:p w:rsidR="004C51C3" w:rsidRPr="00B553B9" w:rsidRDefault="004C51C3" w:rsidP="004C51C3">
      <w:pPr>
        <w:pStyle w:val="Default"/>
        <w:rPr>
          <w:rFonts w:ascii="Times New Roman" w:hAnsi="Times New Roman" w:cs="Times New Roman"/>
        </w:rPr>
      </w:pPr>
    </w:p>
    <w:p w:rsidR="004C51C3" w:rsidRPr="00B553B9" w:rsidRDefault="004C51C3" w:rsidP="00B553B9">
      <w:pPr>
        <w:rPr>
          <w:rFonts w:ascii="Times New Roman" w:hAnsi="Times New Roman" w:cs="Times New Roman"/>
          <w:sz w:val="24"/>
          <w:szCs w:val="24"/>
        </w:rPr>
      </w:pPr>
      <w:r w:rsidRPr="00B553B9"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>
            <wp:extent cx="2209800" cy="2238375"/>
            <wp:effectExtent l="0" t="0" r="0" b="952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51C3" w:rsidRPr="00B553B9" w:rsidRDefault="004C51C3" w:rsidP="004C51C3">
      <w:pPr>
        <w:pStyle w:val="Default"/>
        <w:rPr>
          <w:rFonts w:ascii="Times New Roman" w:hAnsi="Times New Roman" w:cs="Times New Roman"/>
          <w:color w:val="auto"/>
        </w:rPr>
      </w:pPr>
    </w:p>
    <w:p w:rsidR="004C51C3" w:rsidRPr="00B553B9" w:rsidRDefault="004C51C3" w:rsidP="00BA141A">
      <w:pPr>
        <w:jc w:val="both"/>
        <w:rPr>
          <w:rFonts w:ascii="Times New Roman" w:hAnsi="Times New Roman" w:cs="Times New Roman"/>
          <w:sz w:val="24"/>
          <w:szCs w:val="24"/>
        </w:rPr>
      </w:pPr>
      <w:r w:rsidRPr="00B553B9">
        <w:rPr>
          <w:rFonts w:ascii="Times New Roman" w:hAnsi="Times New Roman" w:cs="Times New Roman"/>
          <w:sz w:val="24"/>
          <w:szCs w:val="24"/>
        </w:rPr>
        <w:t>PN-EN 29295:1999</w:t>
      </w:r>
    </w:p>
    <w:p w:rsidR="004C51C3" w:rsidRPr="00B553B9" w:rsidRDefault="004C51C3" w:rsidP="00BA141A">
      <w:pPr>
        <w:jc w:val="both"/>
        <w:rPr>
          <w:rFonts w:ascii="Times New Roman" w:hAnsi="Times New Roman" w:cs="Times New Roman"/>
          <w:sz w:val="24"/>
          <w:szCs w:val="24"/>
        </w:rPr>
      </w:pPr>
      <w:r w:rsidRPr="00B553B9">
        <w:rPr>
          <w:rFonts w:ascii="Times New Roman" w:hAnsi="Times New Roman" w:cs="Times New Roman"/>
          <w:sz w:val="24"/>
          <w:szCs w:val="24"/>
        </w:rPr>
        <w:t>Akustyka -</w:t>
      </w:r>
      <w:r w:rsidR="00BA141A" w:rsidRPr="00B553B9">
        <w:rPr>
          <w:rFonts w:ascii="Times New Roman" w:hAnsi="Times New Roman" w:cs="Times New Roman"/>
          <w:sz w:val="24"/>
          <w:szCs w:val="24"/>
        </w:rPr>
        <w:t xml:space="preserve"> </w:t>
      </w:r>
      <w:r w:rsidRPr="00B553B9">
        <w:rPr>
          <w:rFonts w:ascii="Times New Roman" w:hAnsi="Times New Roman" w:cs="Times New Roman"/>
          <w:sz w:val="24"/>
          <w:szCs w:val="24"/>
        </w:rPr>
        <w:t>Pomiar hałasu o wysokiej częstotliwości emitowanego przez urządzenia komputerowe i biurowe</w:t>
      </w:r>
    </w:p>
    <w:p w:rsidR="00B553B9" w:rsidRPr="00B553B9" w:rsidRDefault="00B553B9" w:rsidP="00BA141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553B9" w:rsidRPr="00B553B9" w:rsidRDefault="00B553B9" w:rsidP="00BA141A">
      <w:pPr>
        <w:jc w:val="both"/>
        <w:rPr>
          <w:rFonts w:ascii="Times New Roman" w:hAnsi="Times New Roman" w:cs="Times New Roman"/>
          <w:sz w:val="24"/>
          <w:szCs w:val="24"/>
        </w:rPr>
      </w:pPr>
      <w:r w:rsidRPr="00B553B9">
        <w:rPr>
          <w:rFonts w:ascii="Times New Roman" w:hAnsi="Times New Roman" w:cs="Times New Roman"/>
          <w:noProof/>
          <w:sz w:val="24"/>
          <w:szCs w:val="24"/>
          <w:lang w:eastAsia="pl-PL"/>
        </w:rPr>
        <w:lastRenderedPageBreak/>
        <w:drawing>
          <wp:inline distT="0" distB="0" distL="0" distR="0">
            <wp:extent cx="2219325" cy="2209800"/>
            <wp:effectExtent l="0" t="0" r="9525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53B9" w:rsidRPr="00B553B9" w:rsidRDefault="00B553B9" w:rsidP="00B553B9">
      <w:pPr>
        <w:pStyle w:val="Default"/>
        <w:rPr>
          <w:rFonts w:ascii="Times New Roman" w:hAnsi="Times New Roman" w:cs="Times New Roman"/>
          <w:color w:val="auto"/>
        </w:rPr>
      </w:pPr>
    </w:p>
    <w:p w:rsidR="00B553B9" w:rsidRPr="00B553B9" w:rsidRDefault="00B553B9" w:rsidP="00B553B9">
      <w:pPr>
        <w:pStyle w:val="Default"/>
        <w:rPr>
          <w:rFonts w:ascii="Times New Roman" w:hAnsi="Times New Roman" w:cs="Times New Roman"/>
          <w:color w:val="auto"/>
        </w:rPr>
      </w:pPr>
      <w:r w:rsidRPr="00B553B9">
        <w:rPr>
          <w:rFonts w:ascii="Times New Roman" w:hAnsi="Times New Roman" w:cs="Times New Roman"/>
          <w:color w:val="auto"/>
        </w:rPr>
        <w:t>PN-Z-04010:1967</w:t>
      </w:r>
    </w:p>
    <w:p w:rsidR="00B553B9" w:rsidRDefault="00B553B9" w:rsidP="00B553B9">
      <w:pPr>
        <w:jc w:val="both"/>
        <w:rPr>
          <w:rFonts w:ascii="Times New Roman" w:hAnsi="Times New Roman" w:cs="Times New Roman"/>
          <w:sz w:val="24"/>
          <w:szCs w:val="24"/>
        </w:rPr>
      </w:pPr>
      <w:r w:rsidRPr="00B553B9">
        <w:rPr>
          <w:rFonts w:ascii="Times New Roman" w:hAnsi="Times New Roman" w:cs="Times New Roman"/>
          <w:sz w:val="24"/>
          <w:szCs w:val="24"/>
        </w:rPr>
        <w:t>Ochrona powietrza atmosferycznego przed zapyleniem -</w:t>
      </w:r>
      <w:r w:rsidR="00ED2571">
        <w:rPr>
          <w:rFonts w:ascii="Times New Roman" w:hAnsi="Times New Roman" w:cs="Times New Roman"/>
          <w:sz w:val="24"/>
          <w:szCs w:val="24"/>
        </w:rPr>
        <w:t xml:space="preserve"> </w:t>
      </w:r>
      <w:r w:rsidRPr="00B553B9">
        <w:rPr>
          <w:rFonts w:ascii="Times New Roman" w:hAnsi="Times New Roman" w:cs="Times New Roman"/>
          <w:sz w:val="24"/>
          <w:szCs w:val="24"/>
        </w:rPr>
        <w:t>Pomiar opadu pyłu przy użyciu płytek mierniczych</w:t>
      </w:r>
    </w:p>
    <w:p w:rsidR="00B553B9" w:rsidRDefault="00B553B9" w:rsidP="00B553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553B9" w:rsidRDefault="00B553B9" w:rsidP="00B553B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>
            <wp:extent cx="2419350" cy="2419350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241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53B9" w:rsidRDefault="00B553B9" w:rsidP="00B553B9">
      <w:pPr>
        <w:pStyle w:val="Default"/>
        <w:rPr>
          <w:color w:val="auto"/>
        </w:rPr>
      </w:pPr>
    </w:p>
    <w:p w:rsidR="00B553B9" w:rsidRPr="00B553B9" w:rsidRDefault="00B553B9" w:rsidP="00B553B9">
      <w:pPr>
        <w:jc w:val="both"/>
        <w:rPr>
          <w:rFonts w:ascii="Times New Roman" w:hAnsi="Times New Roman" w:cs="Times New Roman"/>
          <w:sz w:val="24"/>
          <w:szCs w:val="24"/>
        </w:rPr>
      </w:pPr>
      <w:r w:rsidRPr="00B553B9">
        <w:rPr>
          <w:rFonts w:ascii="Times New Roman" w:hAnsi="Times New Roman" w:cs="Times New Roman"/>
          <w:sz w:val="24"/>
          <w:szCs w:val="24"/>
        </w:rPr>
        <w:t>PN-ISO 14154:2008</w:t>
      </w:r>
    </w:p>
    <w:p w:rsidR="00B553B9" w:rsidRDefault="00B553B9" w:rsidP="00B553B9">
      <w:pPr>
        <w:jc w:val="both"/>
        <w:rPr>
          <w:rFonts w:ascii="Times New Roman" w:hAnsi="Times New Roman" w:cs="Times New Roman"/>
          <w:sz w:val="24"/>
          <w:szCs w:val="24"/>
        </w:rPr>
      </w:pPr>
      <w:r w:rsidRPr="00B553B9">
        <w:rPr>
          <w:rFonts w:ascii="Times New Roman" w:hAnsi="Times New Roman" w:cs="Times New Roman"/>
          <w:sz w:val="24"/>
          <w:szCs w:val="24"/>
        </w:rPr>
        <w:t>Jakość gleby -</w:t>
      </w:r>
      <w:r w:rsidR="00ED2571">
        <w:rPr>
          <w:rFonts w:ascii="Times New Roman" w:hAnsi="Times New Roman" w:cs="Times New Roman"/>
          <w:sz w:val="24"/>
          <w:szCs w:val="24"/>
        </w:rPr>
        <w:t xml:space="preserve"> </w:t>
      </w:r>
      <w:r w:rsidRPr="00B553B9">
        <w:rPr>
          <w:rFonts w:ascii="Times New Roman" w:hAnsi="Times New Roman" w:cs="Times New Roman"/>
          <w:sz w:val="24"/>
          <w:szCs w:val="24"/>
        </w:rPr>
        <w:t xml:space="preserve">Oznaczanie zawartości niektórych wybranych </w:t>
      </w:r>
      <w:proofErr w:type="spellStart"/>
      <w:r w:rsidRPr="00B553B9">
        <w:rPr>
          <w:rFonts w:ascii="Times New Roman" w:hAnsi="Times New Roman" w:cs="Times New Roman"/>
          <w:sz w:val="24"/>
          <w:szCs w:val="24"/>
        </w:rPr>
        <w:t>chlorofenoli</w:t>
      </w:r>
      <w:proofErr w:type="spellEnd"/>
      <w:r w:rsidRPr="00B553B9">
        <w:rPr>
          <w:rFonts w:ascii="Times New Roman" w:hAnsi="Times New Roman" w:cs="Times New Roman"/>
          <w:sz w:val="24"/>
          <w:szCs w:val="24"/>
        </w:rPr>
        <w:t xml:space="preserve"> -</w:t>
      </w:r>
      <w:r w:rsidR="00ED2571">
        <w:rPr>
          <w:rFonts w:ascii="Times New Roman" w:hAnsi="Times New Roman" w:cs="Times New Roman"/>
          <w:sz w:val="24"/>
          <w:szCs w:val="24"/>
        </w:rPr>
        <w:t xml:space="preserve"> </w:t>
      </w:r>
      <w:r w:rsidRPr="00B553B9">
        <w:rPr>
          <w:rFonts w:ascii="Times New Roman" w:hAnsi="Times New Roman" w:cs="Times New Roman"/>
          <w:sz w:val="24"/>
          <w:szCs w:val="24"/>
        </w:rPr>
        <w:t>Metoda chromatografii gazowej z detekcją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53B9">
        <w:rPr>
          <w:rFonts w:ascii="Times New Roman" w:hAnsi="Times New Roman" w:cs="Times New Roman"/>
          <w:sz w:val="24"/>
          <w:szCs w:val="24"/>
        </w:rPr>
        <w:t>wychwytu elektronów</w:t>
      </w:r>
    </w:p>
    <w:p w:rsidR="000F6E69" w:rsidRDefault="000F6E69" w:rsidP="00B553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F6E69" w:rsidRDefault="000F6E69" w:rsidP="00B553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F6E69" w:rsidRDefault="000F6E69" w:rsidP="000F6E69">
      <w:pPr>
        <w:pStyle w:val="Default"/>
      </w:pPr>
    </w:p>
    <w:p w:rsidR="000F6E69" w:rsidRDefault="000F6E69" w:rsidP="000F6E69">
      <w:pPr>
        <w:pStyle w:val="Default"/>
      </w:pPr>
    </w:p>
    <w:p w:rsidR="000F6E69" w:rsidRDefault="000F6E69" w:rsidP="000F6E69">
      <w:pPr>
        <w:pStyle w:val="Default"/>
      </w:pPr>
    </w:p>
    <w:p w:rsidR="000F6E69" w:rsidRDefault="000F6E69" w:rsidP="000F6E69">
      <w:pPr>
        <w:pStyle w:val="Default"/>
      </w:pPr>
      <w:r>
        <w:rPr>
          <w:noProof/>
          <w:lang w:eastAsia="pl-PL"/>
        </w:rPr>
        <w:lastRenderedPageBreak/>
        <w:drawing>
          <wp:inline distT="0" distB="0" distL="0" distR="0">
            <wp:extent cx="2028825" cy="2028825"/>
            <wp:effectExtent l="0" t="0" r="9525" b="9525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6E69" w:rsidRDefault="000F6E69" w:rsidP="000F6E69">
      <w:pPr>
        <w:pStyle w:val="Default"/>
        <w:rPr>
          <w:color w:val="auto"/>
        </w:rPr>
      </w:pPr>
    </w:p>
    <w:p w:rsidR="000F6E69" w:rsidRPr="000F6E69" w:rsidRDefault="000F6E69" w:rsidP="000F6E69">
      <w:pPr>
        <w:jc w:val="both"/>
        <w:rPr>
          <w:rFonts w:ascii="Times New Roman" w:hAnsi="Times New Roman" w:cs="Times New Roman"/>
          <w:sz w:val="24"/>
          <w:szCs w:val="24"/>
        </w:rPr>
      </w:pPr>
      <w:r w:rsidRPr="000F6E69">
        <w:rPr>
          <w:rFonts w:ascii="Times New Roman" w:hAnsi="Times New Roman" w:cs="Times New Roman"/>
          <w:sz w:val="24"/>
          <w:szCs w:val="24"/>
        </w:rPr>
        <w:t>PN-EN ISO 3095:2005</w:t>
      </w:r>
    </w:p>
    <w:p w:rsidR="000F6E69" w:rsidRPr="000F6E69" w:rsidRDefault="000F6E69" w:rsidP="000F6E69">
      <w:pPr>
        <w:jc w:val="both"/>
        <w:rPr>
          <w:rFonts w:ascii="Times New Roman" w:hAnsi="Times New Roman" w:cs="Times New Roman"/>
          <w:sz w:val="24"/>
          <w:szCs w:val="24"/>
        </w:rPr>
      </w:pPr>
      <w:r w:rsidRPr="000F6E69">
        <w:rPr>
          <w:rFonts w:ascii="Times New Roman" w:hAnsi="Times New Roman" w:cs="Times New Roman"/>
          <w:sz w:val="24"/>
          <w:szCs w:val="24"/>
        </w:rPr>
        <w:t>Kolejnictwo -</w:t>
      </w:r>
      <w:r w:rsidR="00ED2571">
        <w:rPr>
          <w:rFonts w:ascii="Times New Roman" w:hAnsi="Times New Roman" w:cs="Times New Roman"/>
          <w:sz w:val="24"/>
          <w:szCs w:val="24"/>
        </w:rPr>
        <w:t xml:space="preserve"> </w:t>
      </w:r>
      <w:r w:rsidRPr="000F6E69">
        <w:rPr>
          <w:rFonts w:ascii="Times New Roman" w:hAnsi="Times New Roman" w:cs="Times New Roman"/>
          <w:sz w:val="24"/>
          <w:szCs w:val="24"/>
        </w:rPr>
        <w:t>Akustyka -</w:t>
      </w:r>
      <w:r w:rsidR="00ED2571">
        <w:rPr>
          <w:rFonts w:ascii="Times New Roman" w:hAnsi="Times New Roman" w:cs="Times New Roman"/>
          <w:sz w:val="24"/>
          <w:szCs w:val="24"/>
        </w:rPr>
        <w:t xml:space="preserve"> </w:t>
      </w:r>
      <w:r w:rsidRPr="000F6E69">
        <w:rPr>
          <w:rFonts w:ascii="Times New Roman" w:hAnsi="Times New Roman" w:cs="Times New Roman"/>
          <w:sz w:val="24"/>
          <w:szCs w:val="24"/>
        </w:rPr>
        <w:t>Pomiar hałasu emitowanego przez pojazdy szynowe</w:t>
      </w:r>
      <w:r w:rsidR="00ED2571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0F6E69">
        <w:rPr>
          <w:rFonts w:ascii="Times New Roman" w:hAnsi="Times New Roman" w:cs="Times New Roman"/>
          <w:sz w:val="24"/>
          <w:szCs w:val="24"/>
        </w:rPr>
        <w:t>(oryg.)</w:t>
      </w:r>
    </w:p>
    <w:p w:rsidR="000F6E69" w:rsidRDefault="000F6E69" w:rsidP="00B553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F6E69" w:rsidRDefault="000F6E69" w:rsidP="00B553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F6E69" w:rsidRDefault="000F6E69" w:rsidP="00B553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F6E69" w:rsidRPr="00B553B9" w:rsidRDefault="000F6E69" w:rsidP="00B553B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0F6E69" w:rsidRPr="00B553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1C3"/>
    <w:rsid w:val="000F6E69"/>
    <w:rsid w:val="00300F35"/>
    <w:rsid w:val="004C51C3"/>
    <w:rsid w:val="006268D0"/>
    <w:rsid w:val="00B553B9"/>
    <w:rsid w:val="00BA141A"/>
    <w:rsid w:val="00ED2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E7C57"/>
  <w15:chartTrackingRefBased/>
  <w15:docId w15:val="{2904FB37-A076-4787-B244-E7F853B3C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C51C3"/>
    <w:pPr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4C5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Aleksandra Kurzep</cp:lastModifiedBy>
  <cp:revision>3</cp:revision>
  <dcterms:created xsi:type="dcterms:W3CDTF">2018-01-20T20:47:00Z</dcterms:created>
  <dcterms:modified xsi:type="dcterms:W3CDTF">2018-02-13T14:33:00Z</dcterms:modified>
</cp:coreProperties>
</file>